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162DEF56" w:rsidR="00C22F26" w:rsidRPr="004035BD" w:rsidRDefault="00CC591D" w:rsidP="003352B3">
            <w:pPr>
              <w:spacing w:after="120" w:line="240" w:lineRule="auto"/>
              <w:rPr>
                <w:rFonts w:ascii="Verdana" w:hAnsi="Verdana" w:cs="Arial"/>
                <w:b/>
                <w:i/>
                <w:sz w:val="18"/>
                <w:szCs w:val="20"/>
              </w:rPr>
            </w:pPr>
            <w:r>
              <w:rPr>
                <w:rFonts w:ascii="Verdana" w:hAnsi="Verdana" w:cs="Arial"/>
                <w:b/>
                <w:i/>
                <w:sz w:val="18"/>
                <w:szCs w:val="20"/>
              </w:rPr>
              <w:t>PGE Energia Ciepła S.A.</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087B51A9" w:rsidR="00C22F26" w:rsidRPr="004035BD" w:rsidRDefault="00CC591D" w:rsidP="00CC591D">
            <w:pPr>
              <w:spacing w:after="120" w:line="240" w:lineRule="auto"/>
              <w:jc w:val="both"/>
              <w:outlineLvl w:val="0"/>
              <w:rPr>
                <w:rFonts w:ascii="Verdana" w:hAnsi="Verdana" w:cs="Arial"/>
                <w:i/>
                <w:sz w:val="18"/>
                <w:szCs w:val="20"/>
              </w:rPr>
            </w:pPr>
            <w:r w:rsidRPr="00CC591D">
              <w:rPr>
                <w:rFonts w:ascii="Verdana" w:hAnsi="Verdana" w:cs="Arial"/>
                <w:i/>
                <w:sz w:val="18"/>
                <w:szCs w:val="20"/>
              </w:rPr>
              <w:t>„Budowa podziemnej sieci cieplnej wysokoparametrowej z rur preizolowanych o średnicach DN 500 – DN 350 o długości ok. 0,4 km od komory KII przy ul. Górczyńskiej do komory K2PA przy ul. Kombatantów w Gorzowie Wlkp</w:t>
            </w:r>
            <w:r w:rsidR="00B37323">
              <w:rPr>
                <w:rFonts w:ascii="Verdana" w:hAnsi="Verdana" w:cs="Arial"/>
                <w:i/>
                <w:sz w:val="18"/>
                <w:szCs w:val="20"/>
              </w:rPr>
              <w:t>.</w:t>
            </w:r>
            <w:r w:rsidRPr="00CC591D">
              <w:rPr>
                <w:rFonts w:ascii="Verdana" w:hAnsi="Verdana" w:cs="Arial"/>
                <w:i/>
                <w:sz w:val="18"/>
                <w:szCs w:val="20"/>
              </w:rPr>
              <w:t>”</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3F7ACB6D" w:rsidR="00C22F26" w:rsidRPr="004035BD" w:rsidRDefault="00CC591D" w:rsidP="003352B3">
            <w:pPr>
              <w:spacing w:after="120" w:line="240" w:lineRule="auto"/>
              <w:rPr>
                <w:rFonts w:ascii="Verdana" w:hAnsi="Verdana" w:cs="Arial"/>
                <w:sz w:val="18"/>
                <w:szCs w:val="20"/>
              </w:rPr>
            </w:pPr>
            <w:r w:rsidRPr="00CC591D">
              <w:rPr>
                <w:rFonts w:ascii="Verdana" w:hAnsi="Verdana" w:cs="Arial"/>
                <w:sz w:val="18"/>
                <w:szCs w:val="20"/>
              </w:rPr>
              <w:t>POST/PEC/PEC/UZB/00803/2025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 xml:space="preserve">jaki jest odpowiedni odsetek pracowników niepełnosprawnych lub </w:t>
            </w:r>
            <w:proofErr w:type="spellStart"/>
            <w:r w:rsidRPr="004035BD">
              <w:rPr>
                <w:rFonts w:cs="Arial"/>
                <w:sz w:val="18"/>
                <w:szCs w:val="18"/>
              </w:rPr>
              <w:t>defaworyzowanych</w:t>
            </w:r>
            <w:proofErr w:type="spellEnd"/>
            <w:r w:rsidRPr="004035BD">
              <w:rPr>
                <w:rFonts w:cs="Arial"/>
                <w:sz w:val="18"/>
                <w:szCs w:val="18"/>
              </w:rPr>
              <w:t>?</w:t>
            </w:r>
            <w:r w:rsidRPr="004035BD">
              <w:rPr>
                <w:rFonts w:cs="Arial"/>
                <w:sz w:val="18"/>
                <w:szCs w:val="18"/>
              </w:rPr>
              <w:br/>
              <w:t xml:space="preserve">Jeżeli jest to wymagane, proszę określić, do której kategorii lub których kategorii pracowników niepełnosprawnych lub </w:t>
            </w:r>
            <w:proofErr w:type="spellStart"/>
            <w:r w:rsidRPr="004035BD">
              <w:rPr>
                <w:rFonts w:cs="Arial"/>
                <w:sz w:val="18"/>
                <w:szCs w:val="18"/>
              </w:rPr>
              <w:t>defaworyzowanych</w:t>
            </w:r>
            <w:proofErr w:type="spellEnd"/>
            <w:r w:rsidRPr="004035BD">
              <w:rPr>
                <w:rFonts w:cs="Arial"/>
                <w:sz w:val="18"/>
                <w:szCs w:val="18"/>
              </w:rPr>
              <w:t xml:space="preserve">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w:t>
      </w:r>
      <w:proofErr w:type="spellStart"/>
      <w:r w:rsidRPr="004035BD">
        <w:rPr>
          <w:rFonts w:ascii="Verdana" w:hAnsi="Verdana" w:cs="Arial"/>
          <w:i/>
          <w:sz w:val="18"/>
          <w:szCs w:val="20"/>
        </w:rPr>
        <w:t>ych</w:t>
      </w:r>
      <w:proofErr w:type="spellEnd"/>
      <w:r w:rsidRPr="004035BD">
        <w:rPr>
          <w:rFonts w:ascii="Verdana" w:hAnsi="Verdana" w:cs="Arial"/>
          <w:i/>
          <w:sz w:val="18"/>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w:t>
            </w:r>
            <w:proofErr w:type="spellStart"/>
            <w:r w:rsidRPr="004035BD">
              <w:rPr>
                <w:rFonts w:ascii="Verdana" w:hAnsi="Verdana" w:cs="Arial"/>
                <w:sz w:val="18"/>
                <w:szCs w:val="20"/>
              </w:rPr>
              <w:t>ych</w:t>
            </w:r>
            <w:proofErr w:type="spellEnd"/>
            <w:r w:rsidRPr="004035BD">
              <w:rPr>
                <w:rFonts w:ascii="Verdana" w:hAnsi="Verdana" w:cs="Arial"/>
                <w:sz w:val="18"/>
                <w:szCs w:val="20"/>
              </w:rPr>
              <w:t>)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w:t>
            </w:r>
            <w:r w:rsidRPr="004035BD">
              <w:rPr>
                <w:rFonts w:cs="Arial"/>
                <w:sz w:val="18"/>
                <w:szCs w:val="18"/>
              </w:rPr>
              <w:lastRenderedPageBreak/>
              <w:t>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 xml:space="preserve">obrót w przedmiotowym obszarze i w ciągu określonej liczby lat wymaganej w </w:t>
            </w:r>
            <w:r w:rsidRPr="004035BD">
              <w:rPr>
                <w:rFonts w:ascii="Verdana" w:hAnsi="Verdana" w:cs="Arial"/>
                <w:b/>
                <w:sz w:val="18"/>
                <w:szCs w:val="20"/>
              </w:rPr>
              <w:lastRenderedPageBreak/>
              <w:t>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lastRenderedPageBreak/>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w:t>
            </w:r>
            <w:proofErr w:type="spellStart"/>
            <w:r w:rsidRPr="004035BD">
              <w:rPr>
                <w:rFonts w:ascii="Verdana" w:hAnsi="Verdana" w:cs="Arial"/>
                <w:sz w:val="18"/>
                <w:szCs w:val="20"/>
              </w:rPr>
              <w:t>ych</w:t>
            </w:r>
            <w:proofErr w:type="spellEnd"/>
            <w:r w:rsidRPr="004035BD">
              <w:rPr>
                <w:rFonts w:ascii="Verdana" w:hAnsi="Verdana" w:cs="Arial"/>
                <w:sz w:val="18"/>
                <w:szCs w:val="20"/>
              </w:rPr>
              <w:t>)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 xml:space="preserve">Jeżeli odnośna dokumentacja dotycząca zadowalającego wykonania i rezultatu w odniesieniu do najważniejszych robót </w:t>
            </w:r>
            <w:r w:rsidRPr="004035BD">
              <w:rPr>
                <w:rFonts w:ascii="Verdana" w:hAnsi="Verdana" w:cs="Arial"/>
                <w:sz w:val="18"/>
                <w:szCs w:val="20"/>
              </w:rPr>
              <w:lastRenderedPageBreak/>
              <w:t>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w:t>
            </w:r>
            <w:r w:rsidRPr="004035BD">
              <w:rPr>
                <w:rFonts w:ascii="Verdana" w:hAnsi="Verdana" w:cs="Arial"/>
                <w:sz w:val="18"/>
                <w:szCs w:val="20"/>
              </w:rPr>
              <w:lastRenderedPageBreak/>
              <w:t>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lastRenderedPageBreak/>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lastRenderedPageBreak/>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w:t>
            </w:r>
            <w:r w:rsidRPr="004035BD">
              <w:rPr>
                <w:rFonts w:ascii="Verdana" w:hAnsi="Verdana" w:cs="Arial"/>
                <w:w w:val="0"/>
                <w:sz w:val="18"/>
                <w:szCs w:val="20"/>
              </w:rPr>
              <w:lastRenderedPageBreak/>
              <w:t xml:space="preserve">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lastRenderedPageBreak/>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lastRenderedPageBreak/>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0EE9D" w14:textId="77777777" w:rsidR="00E0240B" w:rsidRDefault="00E0240B" w:rsidP="001868FA">
      <w:pPr>
        <w:spacing w:after="0" w:line="240" w:lineRule="auto"/>
      </w:pPr>
      <w:r>
        <w:separator/>
      </w:r>
    </w:p>
  </w:endnote>
  <w:endnote w:type="continuationSeparator" w:id="0">
    <w:p w14:paraId="66AAD339" w14:textId="77777777" w:rsidR="00E0240B" w:rsidRDefault="00E0240B" w:rsidP="001868FA">
      <w:pPr>
        <w:spacing w:after="0" w:line="240" w:lineRule="auto"/>
      </w:pPr>
      <w:r>
        <w:continuationSeparator/>
      </w:r>
    </w:p>
  </w:endnote>
  <w:endnote w:type="continuationNotice" w:id="1">
    <w:p w14:paraId="497CDF4D" w14:textId="77777777" w:rsidR="00E0240B" w:rsidRDefault="00E024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C943E" w14:textId="77777777" w:rsidR="00E0240B" w:rsidRDefault="00E0240B" w:rsidP="001868FA">
      <w:pPr>
        <w:spacing w:after="0" w:line="240" w:lineRule="auto"/>
      </w:pPr>
      <w:r>
        <w:separator/>
      </w:r>
    </w:p>
  </w:footnote>
  <w:footnote w:type="continuationSeparator" w:id="0">
    <w:p w14:paraId="6A596597" w14:textId="77777777" w:rsidR="00E0240B" w:rsidRDefault="00E0240B" w:rsidP="001868FA">
      <w:pPr>
        <w:spacing w:after="0" w:line="240" w:lineRule="auto"/>
      </w:pPr>
      <w:r>
        <w:continuationSeparator/>
      </w:r>
    </w:p>
  </w:footnote>
  <w:footnote w:type="continuationNotice" w:id="1">
    <w:p w14:paraId="1B4EBF22" w14:textId="77777777" w:rsidR="00E0240B" w:rsidRDefault="00E0240B">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0E65BC8E" w14:textId="77777777" w:rsidR="00B37323" w:rsidRPr="00B37323" w:rsidRDefault="00B37323" w:rsidP="00B37323">
          <w:pPr>
            <w:suppressAutoHyphens/>
            <w:ind w:right="187"/>
            <w:rPr>
              <w:rFonts w:ascii="Trebuchet MS" w:eastAsia="Calibri" w:hAnsi="Trebuchet MS"/>
              <w:color w:val="000000" w:themeColor="text1"/>
              <w:sz w:val="14"/>
              <w:szCs w:val="18"/>
            </w:rPr>
          </w:pPr>
          <w:r w:rsidRPr="00B37323">
            <w:rPr>
              <w:rFonts w:ascii="Trebuchet MS" w:eastAsia="Calibri" w:hAnsi="Trebuchet MS"/>
              <w:color w:val="000000" w:themeColor="text1"/>
              <w:sz w:val="14"/>
              <w:szCs w:val="18"/>
            </w:rPr>
            <w:t>Specyfikacja Warunków Zamówienia (SWZ)</w:t>
          </w:r>
        </w:p>
        <w:p w14:paraId="6FFF5F69" w14:textId="77777777" w:rsidR="00B37323" w:rsidRPr="00B37323" w:rsidRDefault="00B37323" w:rsidP="00B37323">
          <w:pPr>
            <w:suppressAutoHyphens/>
            <w:ind w:right="187"/>
            <w:rPr>
              <w:rFonts w:ascii="Trebuchet MS" w:eastAsia="Calibri" w:hAnsi="Trebuchet MS"/>
              <w:color w:val="000000" w:themeColor="text1"/>
              <w:sz w:val="14"/>
              <w:szCs w:val="18"/>
            </w:rPr>
          </w:pPr>
          <w:r w:rsidRPr="00B37323">
            <w:rPr>
              <w:rFonts w:ascii="Trebuchet MS" w:eastAsia="Calibri" w:hAnsi="Trebuchet MS"/>
              <w:color w:val="000000" w:themeColor="text1"/>
              <w:sz w:val="14"/>
              <w:szCs w:val="18"/>
            </w:rPr>
            <w:t xml:space="preserve">„Budowa podziemnej sieci cieplnej wysokoparametrowej z rur preizolowanych o średnicach DN 500 – DN 350 o długości ok. 0,4 km od komory KII przy ul. Górczyńskiej do komory K2PA przy ul. Kombatantów w Gorzowie Wlkp.” </w:t>
          </w:r>
        </w:p>
        <w:p w14:paraId="56BF67E0" w14:textId="32FC43F5" w:rsidR="00596F56" w:rsidRPr="00E14220" w:rsidRDefault="00B37323" w:rsidP="00B37323">
          <w:pPr>
            <w:suppressAutoHyphens/>
            <w:ind w:right="187"/>
            <w:rPr>
              <w:rFonts w:asciiTheme="majorHAnsi" w:hAnsiTheme="majorHAnsi"/>
              <w:color w:val="000000" w:themeColor="text1"/>
              <w:sz w:val="14"/>
              <w:szCs w:val="18"/>
            </w:rPr>
          </w:pPr>
          <w:r w:rsidRPr="00B37323">
            <w:rPr>
              <w:rFonts w:ascii="Trebuchet MS" w:eastAsia="Calibri" w:hAnsi="Trebuchet MS"/>
              <w:color w:val="000000" w:themeColor="text1"/>
              <w:sz w:val="14"/>
              <w:szCs w:val="18"/>
            </w:rPr>
            <w:t>POST/PEC/PEC/UZB/00803/2025</w:t>
          </w:r>
        </w:p>
      </w:tc>
      <w:tc>
        <w:tcPr>
          <w:tcW w:w="5095" w:type="dxa"/>
        </w:tcPr>
        <w:p w14:paraId="239408BD" w14:textId="0E5AE9D1"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4pt">
                <v:imagedata r:id="rId1" o:title=""/>
              </v:shape>
              <o:OLEObject Type="Embed" ProgID="PBrush" ShapeID="_x0000_i1025" DrawAspect="Content" ObjectID="_1823249260"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743DF8B6" w:rsidR="00596F56" w:rsidRPr="00E14220" w:rsidRDefault="00CC591D" w:rsidP="000F37AB">
          <w:pPr>
            <w:tabs>
              <w:tab w:val="left" w:pos="6946"/>
            </w:tabs>
            <w:rPr>
              <w:rFonts w:ascii="Trebuchet MS" w:eastAsia="Calibri" w:hAnsi="Trebuchet MS"/>
              <w:color w:val="000000" w:themeColor="text1"/>
              <w:sz w:val="14"/>
              <w:szCs w:val="18"/>
            </w:rPr>
          </w:pPr>
          <w:r w:rsidRPr="00CC591D">
            <w:rPr>
              <w:rFonts w:asciiTheme="majorHAnsi" w:hAnsiTheme="majorHAnsi"/>
              <w:color w:val="000000" w:themeColor="text1"/>
              <w:sz w:val="14"/>
              <w:szCs w:val="18"/>
            </w:rPr>
            <w:t>„Budowa podziemnej sieci cieplnej wysokoparametrowej z rur preizolowanych o średnicach DN 500 – DN 350 o długości ok. 0,4 km od komory KII przy ul. Górczyńskiej do komory K2PA przy ul. Kombatantów w Gorzowie Wlkp</w:t>
          </w:r>
          <w:r w:rsidR="00B37323">
            <w:rPr>
              <w:rFonts w:asciiTheme="majorHAnsi" w:hAnsiTheme="majorHAnsi"/>
              <w:color w:val="000000" w:themeColor="text1"/>
              <w:sz w:val="14"/>
              <w:szCs w:val="18"/>
            </w:rPr>
            <w:t>.</w:t>
          </w:r>
          <w:r w:rsidRPr="00CC591D">
            <w:rPr>
              <w:rFonts w:asciiTheme="majorHAnsi" w:hAnsiTheme="majorHAnsi"/>
              <w:color w:val="000000" w:themeColor="text1"/>
              <w:sz w:val="14"/>
              <w:szCs w:val="18"/>
            </w:rPr>
            <w:t>”</w:t>
          </w:r>
          <w:r w:rsidR="00596F56">
            <w:rPr>
              <w:rFonts w:asciiTheme="majorHAnsi" w:hAnsiTheme="majorHAnsi"/>
              <w:color w:val="000000" w:themeColor="text1"/>
              <w:sz w:val="14"/>
              <w:szCs w:val="18"/>
            </w:rPr>
            <w:t xml:space="preserve"> </w:t>
          </w:r>
        </w:p>
        <w:p w14:paraId="056F51A1" w14:textId="135DAA6B" w:rsidR="00596F56" w:rsidRPr="00E14220" w:rsidRDefault="00CC591D" w:rsidP="000F37AB">
          <w:pPr>
            <w:suppressAutoHyphens/>
            <w:ind w:right="187"/>
            <w:rPr>
              <w:rFonts w:asciiTheme="majorHAnsi" w:hAnsiTheme="majorHAnsi"/>
              <w:color w:val="000000" w:themeColor="text1"/>
              <w:sz w:val="14"/>
              <w:szCs w:val="18"/>
            </w:rPr>
          </w:pPr>
          <w:r w:rsidRPr="00CC591D">
            <w:rPr>
              <w:rFonts w:asciiTheme="majorHAnsi" w:hAnsiTheme="majorHAnsi"/>
              <w:color w:val="000000" w:themeColor="text1"/>
              <w:sz w:val="14"/>
              <w:szCs w:val="18"/>
            </w:rPr>
            <w:t>POST/PEC/PEC/UZB/00803/2025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4pt">
                <v:imagedata r:id="rId1" o:title=""/>
              </v:shape>
              <o:OLEObject Type="Embed" ProgID="PBrush" ShapeID="_x0000_i1026" DrawAspect="Content" ObjectID="_1823249261"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62A"/>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E88"/>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4E85"/>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323"/>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1D"/>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25A"/>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40B"/>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5C18"/>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03_JEDZ_Budowa sieci_ul. Kombatantów Gorzów Wlkp.docx</dmsv2BaseFileName>
    <dmsv2BaseDisplayName xmlns="http://schemas.microsoft.com/sharepoint/v3">03_JEDZ_Budowa sieci_ul. Kombatantów Gorzów Wlkp</dmsv2BaseDisplayName>
    <dmsv2SWPP2ObjectNumber xmlns="http://schemas.microsoft.com/sharepoint/v3">POST/PEC/PEC/UZB/00803/2025                       </dmsv2SWPP2ObjectNumber>
    <dmsv2SWPP2SumMD5 xmlns="http://schemas.microsoft.com/sharepoint/v3">4c2d55473aa4cc8c9fbb4c370188c70d</dmsv2SWPP2SumMD5>
    <dmsv2BaseMoved xmlns="http://schemas.microsoft.com/sharepoint/v3">false</dmsv2BaseMoved>
    <dmsv2BaseIsSensitive xmlns="http://schemas.microsoft.com/sharepoint/v3">true</dmsv2BaseIsSensitive>
    <dmsv2SWPP2IDSWPP2 xmlns="http://schemas.microsoft.com/sharepoint/v3">691057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23642379</dmsv2BaseClientSystemDocumentID>
    <dmsv2BaseModifiedByID xmlns="http://schemas.microsoft.com/sharepoint/v3">19100767</dmsv2BaseModifiedByID>
    <dmsv2BaseCreatedByID xmlns="http://schemas.microsoft.com/sharepoint/v3">19100767</dmsv2BaseCreatedByID>
    <dmsv2SWPP2ObjectDepartment xmlns="http://schemas.microsoft.com/sharepoint/v3">00000001000l00030006</dmsv2SWPP2ObjectDepartment>
    <dmsv2SWPP2ObjectName xmlns="http://schemas.microsoft.com/sharepoint/v3">Postępowanie</dmsv2SWPP2ObjectName>
    <_dlc_DocId xmlns="a19cb1c7-c5c7-46d4-85ae-d83685407bba">DPFVW34YURAE-2123725290-14612</_dlc_DocId>
    <_dlc_DocIdUrl xmlns="a19cb1c7-c5c7-46d4-85ae-d83685407bba">
      <Url>https://swpp2.dms.gkpge.pl/sites/40/_layouts/15/DocIdRedir.aspx?ID=DPFVW34YURAE-2123725290-14612</Url>
      <Description>DPFVW34YURAE-2123725290-14612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52DA99-A2C3-42B4-9E0B-214899563BB5}"/>
</file>

<file path=customXml/itemProps2.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85A18F79-C1D8-4A5A-8A8B-8AAE3F379ACB}"/>
</file>

<file path=docProps/app.xml><?xml version="1.0" encoding="utf-8"?>
<Properties xmlns="http://schemas.openxmlformats.org/officeDocument/2006/extended-properties" xmlns:vt="http://schemas.openxmlformats.org/officeDocument/2006/docPropsVTypes">
  <Template>Normal</Template>
  <TotalTime>400</TotalTime>
  <Pages>15</Pages>
  <Words>4337</Words>
  <Characters>26022</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Czerwonka Igor [PGE EC S.A.]</cp:lastModifiedBy>
  <cp:revision>32</cp:revision>
  <dcterms:created xsi:type="dcterms:W3CDTF">2025-01-30T09:58:00Z</dcterms:created>
  <dcterms:modified xsi:type="dcterms:W3CDTF">2025-10-29T12:21:00Z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8eb71d09-3359-4903-a5bd-00cd70f6e683</vt:lpwstr>
  </property>
</Properties>
</file>